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343C49" w14:textId="51166643" w:rsidR="64AA6F89" w:rsidRDefault="006C51A3" w:rsidP="64AA6F89">
      <w:pPr>
        <w:jc w:val="center"/>
        <w:rPr>
          <w:rFonts w:ascii="Calibri" w:eastAsia="Calibri" w:hAnsi="Calibri" w:cs="Calibri"/>
          <w:color w:val="000000" w:themeColor="text1"/>
          <w:sz w:val="15"/>
          <w:szCs w:val="15"/>
        </w:rPr>
      </w:pPr>
      <w:r>
        <w:rPr>
          <w:rFonts w:eastAsiaTheme="minorEastAsia"/>
          <w:b/>
          <w:bCs/>
          <w:noProof/>
          <w:color w:val="0070C0"/>
          <w:sz w:val="48"/>
          <w:szCs w:val="48"/>
        </w:rPr>
        <w:drawing>
          <wp:anchor distT="0" distB="0" distL="114300" distR="114300" simplePos="0" relativeHeight="251658240" behindDoc="0" locked="0" layoutInCell="1" allowOverlap="1" wp14:anchorId="1D3F9DCD" wp14:editId="7110B10D">
            <wp:simplePos x="0" y="0"/>
            <wp:positionH relativeFrom="margin">
              <wp:align>center</wp:align>
            </wp:positionH>
            <wp:positionV relativeFrom="paragraph">
              <wp:posOffset>4763</wp:posOffset>
            </wp:positionV>
            <wp:extent cx="966470" cy="988695"/>
            <wp:effectExtent l="0" t="0" r="508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ottish_Squash_Logo_PORTRAI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66470" cy="988695"/>
                    </a:xfrm>
                    <a:prstGeom prst="rect">
                      <a:avLst/>
                    </a:prstGeom>
                  </pic:spPr>
                </pic:pic>
              </a:graphicData>
            </a:graphic>
            <wp14:sizeRelH relativeFrom="page">
              <wp14:pctWidth>0</wp14:pctWidth>
            </wp14:sizeRelH>
            <wp14:sizeRelV relativeFrom="page">
              <wp14:pctHeight>0</wp14:pctHeight>
            </wp14:sizeRelV>
          </wp:anchor>
        </w:drawing>
      </w:r>
    </w:p>
    <w:p w14:paraId="0786EC67" w14:textId="3BB2F457" w:rsidR="64AA6F89" w:rsidRDefault="64AA6F89" w:rsidP="64AA6F89">
      <w:pPr>
        <w:spacing w:after="300"/>
        <w:jc w:val="center"/>
        <w:rPr>
          <w:rFonts w:ascii="Calibri" w:eastAsia="Calibri" w:hAnsi="Calibri" w:cs="Calibri"/>
          <w:b/>
          <w:bCs/>
          <w:color w:val="000099"/>
          <w:sz w:val="48"/>
          <w:szCs w:val="48"/>
        </w:rPr>
      </w:pPr>
    </w:p>
    <w:p w14:paraId="2700D64C" w14:textId="77777777" w:rsidR="006C51A3" w:rsidRDefault="006C51A3" w:rsidP="64AA6F89">
      <w:pPr>
        <w:spacing w:after="300"/>
        <w:jc w:val="center"/>
        <w:rPr>
          <w:rFonts w:eastAsiaTheme="minorEastAsia"/>
          <w:b/>
          <w:bCs/>
          <w:color w:val="0070C0"/>
          <w:sz w:val="48"/>
          <w:szCs w:val="48"/>
        </w:rPr>
      </w:pPr>
    </w:p>
    <w:p w14:paraId="71615650" w14:textId="77777777" w:rsidR="006C51A3" w:rsidRDefault="006C51A3" w:rsidP="64AA6F89">
      <w:pPr>
        <w:spacing w:after="300"/>
        <w:jc w:val="center"/>
        <w:rPr>
          <w:rFonts w:eastAsiaTheme="minorEastAsia"/>
          <w:b/>
          <w:bCs/>
          <w:color w:val="0070C0"/>
          <w:sz w:val="48"/>
          <w:szCs w:val="48"/>
        </w:rPr>
      </w:pPr>
    </w:p>
    <w:p w14:paraId="44477DE7" w14:textId="0059C126" w:rsidR="64AA6F89" w:rsidRDefault="001F5A36" w:rsidP="64AA6F89">
      <w:pPr>
        <w:spacing w:after="300"/>
        <w:jc w:val="center"/>
        <w:rPr>
          <w:rFonts w:eastAsiaTheme="minorEastAsia"/>
          <w:b/>
          <w:bCs/>
          <w:color w:val="0070C0"/>
          <w:sz w:val="48"/>
          <w:szCs w:val="48"/>
        </w:rPr>
      </w:pPr>
      <w:r>
        <w:rPr>
          <w:rFonts w:eastAsiaTheme="minorEastAsia"/>
          <w:b/>
          <w:bCs/>
          <w:color w:val="0070C0"/>
          <w:sz w:val="48"/>
          <w:szCs w:val="48"/>
        </w:rPr>
        <w:t>Competitions and</w:t>
      </w:r>
      <w:r w:rsidR="006C51A3">
        <w:rPr>
          <w:rFonts w:eastAsiaTheme="minorEastAsia"/>
          <w:b/>
          <w:bCs/>
          <w:color w:val="0070C0"/>
          <w:sz w:val="48"/>
          <w:szCs w:val="48"/>
        </w:rPr>
        <w:t xml:space="preserve"> Events</w:t>
      </w:r>
    </w:p>
    <w:p w14:paraId="63522A28" w14:textId="57D65A63" w:rsidR="006C51A3" w:rsidRPr="006C51A3" w:rsidRDefault="006C51A3" w:rsidP="64AA6F89">
      <w:pPr>
        <w:spacing w:after="300"/>
        <w:jc w:val="center"/>
        <w:rPr>
          <w:rFonts w:eastAsiaTheme="minorEastAsia"/>
          <w:b/>
          <w:bCs/>
          <w:color w:val="0070C0"/>
          <w:sz w:val="48"/>
          <w:szCs w:val="48"/>
        </w:rPr>
      </w:pPr>
      <w:r w:rsidRPr="006C51A3">
        <w:rPr>
          <w:rFonts w:eastAsiaTheme="minorEastAsia"/>
          <w:b/>
          <w:bCs/>
          <w:color w:val="0070C0"/>
          <w:sz w:val="48"/>
          <w:szCs w:val="48"/>
        </w:rPr>
        <w:t>Terms and Conditions</w:t>
      </w:r>
    </w:p>
    <w:p w14:paraId="6ADA6DED" w14:textId="5A86C06C" w:rsidR="64AA6F89" w:rsidRDefault="64AA6F89" w:rsidP="64AA6F89">
      <w:pPr>
        <w:jc w:val="both"/>
        <w:rPr>
          <w:rFonts w:eastAsiaTheme="minorEastAsia"/>
          <w:color w:val="000000" w:themeColor="text1"/>
          <w:sz w:val="24"/>
          <w:szCs w:val="24"/>
        </w:rPr>
      </w:pPr>
    </w:p>
    <w:p w14:paraId="2B2E3301" w14:textId="55E880E0" w:rsidR="64AA6F89" w:rsidRDefault="64AA6F89" w:rsidP="64AA6F89">
      <w:pPr>
        <w:jc w:val="both"/>
        <w:rPr>
          <w:rFonts w:eastAsiaTheme="minorEastAsia"/>
          <w:color w:val="000000" w:themeColor="text1"/>
          <w:sz w:val="24"/>
          <w:szCs w:val="24"/>
        </w:rPr>
      </w:pPr>
    </w:p>
    <w:p w14:paraId="275A05D6" w14:textId="19992BD9" w:rsidR="64AA6F89" w:rsidRDefault="64AA6F89" w:rsidP="64AA6F89">
      <w:pPr>
        <w:jc w:val="both"/>
        <w:rPr>
          <w:rFonts w:eastAsiaTheme="minorEastAsia"/>
          <w:color w:val="000000" w:themeColor="text1"/>
          <w:sz w:val="24"/>
          <w:szCs w:val="24"/>
        </w:rPr>
      </w:pPr>
    </w:p>
    <w:p w14:paraId="43EA35CF" w14:textId="2C492F68" w:rsidR="64AA6F89" w:rsidRDefault="64AA6F89" w:rsidP="64AA6F89">
      <w:pPr>
        <w:jc w:val="both"/>
        <w:rPr>
          <w:rFonts w:eastAsiaTheme="minorEastAsia"/>
          <w:color w:val="000000" w:themeColor="text1"/>
          <w:sz w:val="24"/>
          <w:szCs w:val="24"/>
        </w:rPr>
      </w:pPr>
    </w:p>
    <w:p w14:paraId="2EA75F21" w14:textId="75511B76" w:rsidR="64AA6F89" w:rsidRDefault="64AA6F89" w:rsidP="64AA6F89">
      <w:pPr>
        <w:jc w:val="both"/>
        <w:rPr>
          <w:rFonts w:eastAsiaTheme="minorEastAsia"/>
          <w:color w:val="000000" w:themeColor="text1"/>
          <w:sz w:val="24"/>
          <w:szCs w:val="24"/>
        </w:rPr>
      </w:pPr>
    </w:p>
    <w:p w14:paraId="231EEDD7" w14:textId="04531BFD" w:rsidR="64AA6F89" w:rsidRDefault="64AA6F89" w:rsidP="64AA6F89">
      <w:pPr>
        <w:jc w:val="both"/>
        <w:rPr>
          <w:rFonts w:eastAsiaTheme="minorEastAsia"/>
          <w:color w:val="000000" w:themeColor="text1"/>
          <w:sz w:val="24"/>
          <w:szCs w:val="24"/>
        </w:rPr>
      </w:pPr>
    </w:p>
    <w:p w14:paraId="02E7D1DF" w14:textId="57B575C4" w:rsidR="64AA6F89" w:rsidRDefault="64AA6F89" w:rsidP="64AA6F89">
      <w:pPr>
        <w:jc w:val="both"/>
        <w:rPr>
          <w:rFonts w:eastAsiaTheme="minorEastAsia"/>
          <w:color w:val="000000" w:themeColor="text1"/>
          <w:sz w:val="24"/>
          <w:szCs w:val="24"/>
        </w:rPr>
      </w:pPr>
    </w:p>
    <w:p w14:paraId="5D069E1B" w14:textId="4E6A8D6E" w:rsidR="64AA6F89" w:rsidRDefault="64AA6F89" w:rsidP="64AA6F89">
      <w:pPr>
        <w:jc w:val="both"/>
        <w:rPr>
          <w:rFonts w:eastAsiaTheme="minorEastAsia"/>
          <w:color w:val="000000" w:themeColor="text1"/>
          <w:sz w:val="24"/>
          <w:szCs w:val="24"/>
        </w:rPr>
      </w:pPr>
    </w:p>
    <w:p w14:paraId="44509CC3" w14:textId="77BAF38F" w:rsidR="64AA6F89" w:rsidRDefault="64AA6F89" w:rsidP="64AA6F89">
      <w:pPr>
        <w:jc w:val="both"/>
        <w:rPr>
          <w:rFonts w:eastAsiaTheme="minorEastAsia"/>
          <w:color w:val="000000" w:themeColor="text1"/>
          <w:sz w:val="24"/>
          <w:szCs w:val="24"/>
        </w:rPr>
      </w:pPr>
    </w:p>
    <w:p w14:paraId="4FF2367E" w14:textId="03A3CF20" w:rsidR="64AA6F89" w:rsidRDefault="64AA6F89" w:rsidP="64AA6F89">
      <w:pPr>
        <w:jc w:val="center"/>
        <w:rPr>
          <w:rFonts w:eastAsiaTheme="minorEastAsia"/>
          <w:color w:val="000000" w:themeColor="text1"/>
          <w:sz w:val="24"/>
          <w:szCs w:val="24"/>
        </w:rPr>
      </w:pPr>
    </w:p>
    <w:p w14:paraId="4F91EEE0" w14:textId="621BAA3D" w:rsidR="64AA6F89" w:rsidRDefault="64AA6F89" w:rsidP="64AA6F89">
      <w:pPr>
        <w:jc w:val="center"/>
        <w:rPr>
          <w:rFonts w:eastAsiaTheme="minorEastAsia"/>
          <w:color w:val="000000" w:themeColor="text1"/>
          <w:sz w:val="24"/>
          <w:szCs w:val="24"/>
        </w:rPr>
      </w:pPr>
    </w:p>
    <w:p w14:paraId="1BB8E72B" w14:textId="59384C2B" w:rsidR="64AA6F89" w:rsidRDefault="64AA6F89" w:rsidP="64AA6F89">
      <w:pPr>
        <w:jc w:val="center"/>
        <w:rPr>
          <w:rFonts w:eastAsiaTheme="minorEastAsia"/>
          <w:color w:val="000000" w:themeColor="text1"/>
          <w:sz w:val="24"/>
          <w:szCs w:val="24"/>
        </w:rPr>
      </w:pPr>
    </w:p>
    <w:p w14:paraId="00C52FD8" w14:textId="05810A8D" w:rsidR="64AA6F89" w:rsidRDefault="64AA6F89" w:rsidP="00031D08">
      <w:pPr>
        <w:jc w:val="center"/>
        <w:rPr>
          <w:rFonts w:eastAsiaTheme="minorEastAsia"/>
          <w:color w:val="000000" w:themeColor="text1"/>
          <w:sz w:val="24"/>
          <w:szCs w:val="24"/>
        </w:rPr>
      </w:pPr>
      <w:r w:rsidRPr="64AA6F89">
        <w:rPr>
          <w:rFonts w:eastAsiaTheme="minorEastAsia"/>
          <w:color w:val="000000" w:themeColor="text1"/>
          <w:sz w:val="24"/>
          <w:szCs w:val="24"/>
        </w:rPr>
        <w:t>VERSION CONTROL</w:t>
      </w:r>
    </w:p>
    <w:tbl>
      <w:tblPr>
        <w:tblStyle w:val="GridTable1Light-Accent1"/>
        <w:tblW w:w="0" w:type="auto"/>
        <w:jc w:val="center"/>
        <w:tblLayout w:type="fixed"/>
        <w:tblLook w:val="04A0" w:firstRow="1" w:lastRow="0" w:firstColumn="1" w:lastColumn="0" w:noHBand="0" w:noVBand="1"/>
      </w:tblPr>
      <w:tblGrid>
        <w:gridCol w:w="1410"/>
        <w:gridCol w:w="1740"/>
        <w:gridCol w:w="1455"/>
        <w:gridCol w:w="2115"/>
      </w:tblGrid>
      <w:tr w:rsidR="64AA6F89" w14:paraId="11E24512" w14:textId="77777777" w:rsidTr="0092652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0" w:type="dxa"/>
          </w:tcPr>
          <w:p w14:paraId="24EC9CFA" w14:textId="5A03DB7E" w:rsidR="64AA6F89" w:rsidRDefault="64AA6F89" w:rsidP="64AA6F89">
            <w:pPr>
              <w:jc w:val="both"/>
              <w:rPr>
                <w:rFonts w:eastAsiaTheme="minorEastAsia"/>
                <w:b w:val="0"/>
                <w:bCs w:val="0"/>
                <w:color w:val="000000" w:themeColor="text1"/>
                <w:sz w:val="24"/>
                <w:szCs w:val="24"/>
              </w:rPr>
            </w:pPr>
            <w:r w:rsidRPr="64AA6F89">
              <w:rPr>
                <w:rFonts w:eastAsiaTheme="minorEastAsia"/>
                <w:b w:val="0"/>
                <w:bCs w:val="0"/>
                <w:color w:val="000000" w:themeColor="text1"/>
                <w:sz w:val="24"/>
                <w:szCs w:val="24"/>
              </w:rPr>
              <w:t>Version No.</w:t>
            </w:r>
          </w:p>
        </w:tc>
        <w:tc>
          <w:tcPr>
            <w:tcW w:w="1740" w:type="dxa"/>
          </w:tcPr>
          <w:p w14:paraId="120A0FDC" w14:textId="70166760" w:rsidR="64AA6F89" w:rsidRDefault="64AA6F89" w:rsidP="64AA6F89">
            <w:pPr>
              <w:jc w:val="both"/>
              <w:cnfStyle w:val="100000000000" w:firstRow="1" w:lastRow="0" w:firstColumn="0" w:lastColumn="0" w:oddVBand="0" w:evenVBand="0" w:oddHBand="0" w:evenHBand="0" w:firstRowFirstColumn="0" w:firstRowLastColumn="0" w:lastRowFirstColumn="0" w:lastRowLastColumn="0"/>
              <w:rPr>
                <w:rFonts w:eastAsiaTheme="minorEastAsia"/>
                <w:color w:val="000000" w:themeColor="text1"/>
                <w:sz w:val="24"/>
                <w:szCs w:val="24"/>
              </w:rPr>
            </w:pPr>
            <w:r w:rsidRPr="64AA6F89">
              <w:rPr>
                <w:rFonts w:eastAsiaTheme="minorEastAsia"/>
                <w:b w:val="0"/>
                <w:bCs w:val="0"/>
                <w:color w:val="000000" w:themeColor="text1"/>
                <w:sz w:val="24"/>
                <w:szCs w:val="24"/>
              </w:rPr>
              <w:t>Date Amended</w:t>
            </w:r>
          </w:p>
        </w:tc>
        <w:tc>
          <w:tcPr>
            <w:tcW w:w="1455" w:type="dxa"/>
          </w:tcPr>
          <w:p w14:paraId="406BCEEC" w14:textId="421AF30D" w:rsidR="64AA6F89" w:rsidRDefault="64AA6F89" w:rsidP="64AA6F89">
            <w:pPr>
              <w:jc w:val="both"/>
              <w:cnfStyle w:val="100000000000" w:firstRow="1" w:lastRow="0" w:firstColumn="0" w:lastColumn="0" w:oddVBand="0" w:evenVBand="0" w:oddHBand="0" w:evenHBand="0" w:firstRowFirstColumn="0" w:firstRowLastColumn="0" w:lastRowFirstColumn="0" w:lastRowLastColumn="0"/>
              <w:rPr>
                <w:rFonts w:eastAsiaTheme="minorEastAsia"/>
                <w:color w:val="000000" w:themeColor="text1"/>
                <w:sz w:val="24"/>
                <w:szCs w:val="24"/>
              </w:rPr>
            </w:pPr>
            <w:r w:rsidRPr="64AA6F89">
              <w:rPr>
                <w:rFonts w:eastAsiaTheme="minorEastAsia"/>
                <w:b w:val="0"/>
                <w:bCs w:val="0"/>
                <w:color w:val="000000" w:themeColor="text1"/>
                <w:sz w:val="24"/>
                <w:szCs w:val="24"/>
              </w:rPr>
              <w:t>Amended By</w:t>
            </w:r>
          </w:p>
        </w:tc>
        <w:tc>
          <w:tcPr>
            <w:tcW w:w="2115" w:type="dxa"/>
          </w:tcPr>
          <w:p w14:paraId="7B34AEB5" w14:textId="6B46AA85" w:rsidR="64AA6F89" w:rsidRDefault="64AA6F89" w:rsidP="64AA6F89">
            <w:pPr>
              <w:jc w:val="both"/>
              <w:cnfStyle w:val="100000000000" w:firstRow="1" w:lastRow="0" w:firstColumn="0" w:lastColumn="0" w:oddVBand="0" w:evenVBand="0" w:oddHBand="0" w:evenHBand="0" w:firstRowFirstColumn="0" w:firstRowLastColumn="0" w:lastRowFirstColumn="0" w:lastRowLastColumn="0"/>
              <w:rPr>
                <w:rFonts w:eastAsiaTheme="minorEastAsia"/>
                <w:color w:val="000000" w:themeColor="text1"/>
                <w:sz w:val="24"/>
                <w:szCs w:val="24"/>
              </w:rPr>
            </w:pPr>
            <w:r w:rsidRPr="64AA6F89">
              <w:rPr>
                <w:rFonts w:eastAsiaTheme="minorEastAsia"/>
                <w:b w:val="0"/>
                <w:bCs w:val="0"/>
                <w:color w:val="000000" w:themeColor="text1"/>
                <w:sz w:val="24"/>
                <w:szCs w:val="24"/>
              </w:rPr>
              <w:t>Reason</w:t>
            </w:r>
          </w:p>
        </w:tc>
      </w:tr>
      <w:tr w:rsidR="64AA6F89" w14:paraId="51DADD9F" w14:textId="77777777" w:rsidTr="0092652F">
        <w:trPr>
          <w:jc w:val="center"/>
        </w:trPr>
        <w:tc>
          <w:tcPr>
            <w:cnfStyle w:val="001000000000" w:firstRow="0" w:lastRow="0" w:firstColumn="1" w:lastColumn="0" w:oddVBand="0" w:evenVBand="0" w:oddHBand="0" w:evenHBand="0" w:firstRowFirstColumn="0" w:firstRowLastColumn="0" w:lastRowFirstColumn="0" w:lastRowLastColumn="0"/>
            <w:tcW w:w="1410" w:type="dxa"/>
          </w:tcPr>
          <w:p w14:paraId="3F5E49E5" w14:textId="7B096056" w:rsidR="64AA6F89" w:rsidRDefault="64AA6F89" w:rsidP="64AA6F89">
            <w:pPr>
              <w:jc w:val="center"/>
              <w:rPr>
                <w:rFonts w:eastAsiaTheme="minorEastAsia"/>
                <w:b w:val="0"/>
                <w:bCs w:val="0"/>
                <w:color w:val="000000" w:themeColor="text1"/>
                <w:sz w:val="24"/>
                <w:szCs w:val="24"/>
              </w:rPr>
            </w:pPr>
            <w:r w:rsidRPr="64AA6F89">
              <w:rPr>
                <w:rFonts w:eastAsiaTheme="minorEastAsia"/>
                <w:b w:val="0"/>
                <w:bCs w:val="0"/>
                <w:color w:val="000000" w:themeColor="text1"/>
                <w:sz w:val="24"/>
                <w:szCs w:val="24"/>
              </w:rPr>
              <w:t>1.0</w:t>
            </w:r>
          </w:p>
        </w:tc>
        <w:tc>
          <w:tcPr>
            <w:tcW w:w="1740" w:type="dxa"/>
          </w:tcPr>
          <w:p w14:paraId="4CC65C72" w14:textId="1841BBC6" w:rsidR="64AA6F89" w:rsidRDefault="006C51A3" w:rsidP="64AA6F89">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r>
              <w:rPr>
                <w:rFonts w:eastAsiaTheme="minorEastAsia"/>
                <w:color w:val="000000" w:themeColor="text1"/>
                <w:sz w:val="24"/>
                <w:szCs w:val="24"/>
              </w:rPr>
              <w:t>04</w:t>
            </w:r>
            <w:r w:rsidR="64AA6F89" w:rsidRPr="64AA6F89">
              <w:rPr>
                <w:rFonts w:eastAsiaTheme="minorEastAsia"/>
                <w:color w:val="000000" w:themeColor="text1"/>
                <w:sz w:val="24"/>
                <w:szCs w:val="24"/>
              </w:rPr>
              <w:t>/</w:t>
            </w:r>
            <w:r>
              <w:rPr>
                <w:rFonts w:eastAsiaTheme="minorEastAsia"/>
                <w:color w:val="000000" w:themeColor="text1"/>
                <w:sz w:val="24"/>
                <w:szCs w:val="24"/>
              </w:rPr>
              <w:t>07</w:t>
            </w:r>
            <w:r w:rsidR="64AA6F89" w:rsidRPr="64AA6F89">
              <w:rPr>
                <w:rFonts w:eastAsiaTheme="minorEastAsia"/>
                <w:color w:val="000000" w:themeColor="text1"/>
                <w:sz w:val="24"/>
                <w:szCs w:val="24"/>
              </w:rPr>
              <w:t>/201</w:t>
            </w:r>
            <w:r>
              <w:rPr>
                <w:rFonts w:eastAsiaTheme="minorEastAsia"/>
                <w:color w:val="000000" w:themeColor="text1"/>
                <w:sz w:val="24"/>
                <w:szCs w:val="24"/>
              </w:rPr>
              <w:t>8</w:t>
            </w:r>
          </w:p>
        </w:tc>
        <w:tc>
          <w:tcPr>
            <w:tcW w:w="1455" w:type="dxa"/>
          </w:tcPr>
          <w:p w14:paraId="6D6FAC2E" w14:textId="294ABE4F" w:rsidR="64AA6F89" w:rsidRDefault="64AA6F89" w:rsidP="64AA6F89">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p>
        </w:tc>
        <w:tc>
          <w:tcPr>
            <w:tcW w:w="2115" w:type="dxa"/>
          </w:tcPr>
          <w:p w14:paraId="6F646C0E" w14:textId="19CB1C50" w:rsidR="64AA6F89" w:rsidRDefault="64AA6F89" w:rsidP="64AA6F89">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r w:rsidRPr="64AA6F89">
              <w:rPr>
                <w:rFonts w:eastAsiaTheme="minorEastAsia"/>
                <w:color w:val="000000" w:themeColor="text1"/>
                <w:sz w:val="24"/>
                <w:szCs w:val="24"/>
              </w:rPr>
              <w:t>Issued</w:t>
            </w:r>
          </w:p>
        </w:tc>
      </w:tr>
      <w:tr w:rsidR="00031D08" w14:paraId="6B828060" w14:textId="77777777" w:rsidTr="0092652F">
        <w:trPr>
          <w:jc w:val="center"/>
        </w:trPr>
        <w:tc>
          <w:tcPr>
            <w:cnfStyle w:val="001000000000" w:firstRow="0" w:lastRow="0" w:firstColumn="1" w:lastColumn="0" w:oddVBand="0" w:evenVBand="0" w:oddHBand="0" w:evenHBand="0" w:firstRowFirstColumn="0" w:firstRowLastColumn="0" w:lastRowFirstColumn="0" w:lastRowLastColumn="0"/>
            <w:tcW w:w="1410" w:type="dxa"/>
          </w:tcPr>
          <w:p w14:paraId="7A3DAC92" w14:textId="77777777" w:rsidR="00031D08" w:rsidRPr="64AA6F89" w:rsidRDefault="00031D08" w:rsidP="64AA6F89">
            <w:pPr>
              <w:jc w:val="center"/>
              <w:rPr>
                <w:rFonts w:eastAsiaTheme="minorEastAsia"/>
                <w:color w:val="000000" w:themeColor="text1"/>
                <w:sz w:val="24"/>
                <w:szCs w:val="24"/>
              </w:rPr>
            </w:pPr>
          </w:p>
        </w:tc>
        <w:tc>
          <w:tcPr>
            <w:tcW w:w="1740" w:type="dxa"/>
          </w:tcPr>
          <w:p w14:paraId="2B125839" w14:textId="77777777" w:rsidR="00031D08" w:rsidRDefault="00031D08" w:rsidP="64AA6F89">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p>
        </w:tc>
        <w:tc>
          <w:tcPr>
            <w:tcW w:w="1455" w:type="dxa"/>
          </w:tcPr>
          <w:p w14:paraId="79CF4DDB" w14:textId="77777777" w:rsidR="00031D08" w:rsidRDefault="00031D08" w:rsidP="64AA6F89">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p>
        </w:tc>
        <w:tc>
          <w:tcPr>
            <w:tcW w:w="2115" w:type="dxa"/>
          </w:tcPr>
          <w:p w14:paraId="20EAD1E2" w14:textId="77777777" w:rsidR="00031D08" w:rsidRPr="64AA6F89" w:rsidRDefault="00031D08" w:rsidP="64AA6F89">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p>
        </w:tc>
      </w:tr>
      <w:tr w:rsidR="00031D08" w14:paraId="74B83F82" w14:textId="77777777" w:rsidTr="0092652F">
        <w:trPr>
          <w:jc w:val="center"/>
        </w:trPr>
        <w:tc>
          <w:tcPr>
            <w:cnfStyle w:val="001000000000" w:firstRow="0" w:lastRow="0" w:firstColumn="1" w:lastColumn="0" w:oddVBand="0" w:evenVBand="0" w:oddHBand="0" w:evenHBand="0" w:firstRowFirstColumn="0" w:firstRowLastColumn="0" w:lastRowFirstColumn="0" w:lastRowLastColumn="0"/>
            <w:tcW w:w="1410" w:type="dxa"/>
          </w:tcPr>
          <w:p w14:paraId="26E6BA42" w14:textId="77777777" w:rsidR="00031D08" w:rsidRPr="64AA6F89" w:rsidRDefault="00031D08" w:rsidP="64AA6F89">
            <w:pPr>
              <w:jc w:val="center"/>
              <w:rPr>
                <w:rFonts w:eastAsiaTheme="minorEastAsia"/>
                <w:color w:val="000000" w:themeColor="text1"/>
                <w:sz w:val="24"/>
                <w:szCs w:val="24"/>
              </w:rPr>
            </w:pPr>
          </w:p>
        </w:tc>
        <w:tc>
          <w:tcPr>
            <w:tcW w:w="1740" w:type="dxa"/>
          </w:tcPr>
          <w:p w14:paraId="7C843703" w14:textId="77777777" w:rsidR="00031D08" w:rsidRDefault="00031D08" w:rsidP="64AA6F89">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p>
        </w:tc>
        <w:tc>
          <w:tcPr>
            <w:tcW w:w="1455" w:type="dxa"/>
          </w:tcPr>
          <w:p w14:paraId="773F6167" w14:textId="77777777" w:rsidR="00031D08" w:rsidRDefault="00031D08" w:rsidP="64AA6F89">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p>
        </w:tc>
        <w:tc>
          <w:tcPr>
            <w:tcW w:w="2115" w:type="dxa"/>
          </w:tcPr>
          <w:p w14:paraId="55889B3C" w14:textId="77777777" w:rsidR="00031D08" w:rsidRPr="64AA6F89" w:rsidRDefault="00031D08" w:rsidP="64AA6F89">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p>
        </w:tc>
      </w:tr>
      <w:tr w:rsidR="00031D08" w14:paraId="193407C4" w14:textId="77777777" w:rsidTr="0092652F">
        <w:trPr>
          <w:jc w:val="center"/>
        </w:trPr>
        <w:tc>
          <w:tcPr>
            <w:cnfStyle w:val="001000000000" w:firstRow="0" w:lastRow="0" w:firstColumn="1" w:lastColumn="0" w:oddVBand="0" w:evenVBand="0" w:oddHBand="0" w:evenHBand="0" w:firstRowFirstColumn="0" w:firstRowLastColumn="0" w:lastRowFirstColumn="0" w:lastRowLastColumn="0"/>
            <w:tcW w:w="1410" w:type="dxa"/>
          </w:tcPr>
          <w:p w14:paraId="393E92FE" w14:textId="77777777" w:rsidR="00031D08" w:rsidRPr="64AA6F89" w:rsidRDefault="00031D08" w:rsidP="64AA6F89">
            <w:pPr>
              <w:jc w:val="center"/>
              <w:rPr>
                <w:rFonts w:eastAsiaTheme="minorEastAsia"/>
                <w:color w:val="000000" w:themeColor="text1"/>
                <w:sz w:val="24"/>
                <w:szCs w:val="24"/>
              </w:rPr>
            </w:pPr>
          </w:p>
        </w:tc>
        <w:tc>
          <w:tcPr>
            <w:tcW w:w="1740" w:type="dxa"/>
          </w:tcPr>
          <w:p w14:paraId="3099F3F7" w14:textId="77777777" w:rsidR="00031D08" w:rsidRDefault="00031D08" w:rsidP="64AA6F89">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p>
        </w:tc>
        <w:tc>
          <w:tcPr>
            <w:tcW w:w="1455" w:type="dxa"/>
          </w:tcPr>
          <w:p w14:paraId="1D310E78" w14:textId="77777777" w:rsidR="00031D08" w:rsidRDefault="00031D08" w:rsidP="64AA6F89">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p>
        </w:tc>
        <w:tc>
          <w:tcPr>
            <w:tcW w:w="2115" w:type="dxa"/>
          </w:tcPr>
          <w:p w14:paraId="7E04CCDC" w14:textId="77777777" w:rsidR="00031D08" w:rsidRPr="64AA6F89" w:rsidRDefault="00031D08" w:rsidP="64AA6F89">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p>
        </w:tc>
      </w:tr>
      <w:tr w:rsidR="00031D08" w14:paraId="79AA63DA" w14:textId="77777777" w:rsidTr="0092652F">
        <w:trPr>
          <w:jc w:val="center"/>
        </w:trPr>
        <w:tc>
          <w:tcPr>
            <w:cnfStyle w:val="001000000000" w:firstRow="0" w:lastRow="0" w:firstColumn="1" w:lastColumn="0" w:oddVBand="0" w:evenVBand="0" w:oddHBand="0" w:evenHBand="0" w:firstRowFirstColumn="0" w:firstRowLastColumn="0" w:lastRowFirstColumn="0" w:lastRowLastColumn="0"/>
            <w:tcW w:w="1410" w:type="dxa"/>
          </w:tcPr>
          <w:p w14:paraId="7EFF7995" w14:textId="77777777" w:rsidR="00031D08" w:rsidRPr="64AA6F89" w:rsidRDefault="00031D08" w:rsidP="64AA6F89">
            <w:pPr>
              <w:jc w:val="center"/>
              <w:rPr>
                <w:rFonts w:eastAsiaTheme="minorEastAsia"/>
                <w:color w:val="000000" w:themeColor="text1"/>
                <w:sz w:val="24"/>
                <w:szCs w:val="24"/>
              </w:rPr>
            </w:pPr>
          </w:p>
        </w:tc>
        <w:tc>
          <w:tcPr>
            <w:tcW w:w="1740" w:type="dxa"/>
          </w:tcPr>
          <w:p w14:paraId="29E84C2E" w14:textId="77777777" w:rsidR="00031D08" w:rsidRDefault="00031D08" w:rsidP="64AA6F89">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p>
        </w:tc>
        <w:tc>
          <w:tcPr>
            <w:tcW w:w="1455" w:type="dxa"/>
          </w:tcPr>
          <w:p w14:paraId="4FBF4EB6" w14:textId="77777777" w:rsidR="00031D08" w:rsidRDefault="00031D08" w:rsidP="64AA6F89">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p>
        </w:tc>
        <w:tc>
          <w:tcPr>
            <w:tcW w:w="2115" w:type="dxa"/>
          </w:tcPr>
          <w:p w14:paraId="793B7953" w14:textId="77777777" w:rsidR="00031D08" w:rsidRPr="64AA6F89" w:rsidRDefault="00031D08" w:rsidP="64AA6F89">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p>
        </w:tc>
      </w:tr>
      <w:tr w:rsidR="00031D08" w14:paraId="0BB5F923" w14:textId="77777777" w:rsidTr="0092652F">
        <w:trPr>
          <w:jc w:val="center"/>
        </w:trPr>
        <w:tc>
          <w:tcPr>
            <w:cnfStyle w:val="001000000000" w:firstRow="0" w:lastRow="0" w:firstColumn="1" w:lastColumn="0" w:oddVBand="0" w:evenVBand="0" w:oddHBand="0" w:evenHBand="0" w:firstRowFirstColumn="0" w:firstRowLastColumn="0" w:lastRowFirstColumn="0" w:lastRowLastColumn="0"/>
            <w:tcW w:w="1410" w:type="dxa"/>
          </w:tcPr>
          <w:p w14:paraId="035A4B70" w14:textId="77777777" w:rsidR="00031D08" w:rsidRPr="64AA6F89" w:rsidRDefault="00031D08" w:rsidP="64AA6F89">
            <w:pPr>
              <w:jc w:val="center"/>
              <w:rPr>
                <w:rFonts w:eastAsiaTheme="minorEastAsia"/>
                <w:color w:val="000000" w:themeColor="text1"/>
                <w:sz w:val="24"/>
                <w:szCs w:val="24"/>
              </w:rPr>
            </w:pPr>
          </w:p>
        </w:tc>
        <w:tc>
          <w:tcPr>
            <w:tcW w:w="1740" w:type="dxa"/>
          </w:tcPr>
          <w:p w14:paraId="3A0CC91A" w14:textId="77777777" w:rsidR="00031D08" w:rsidRDefault="00031D08" w:rsidP="64AA6F89">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p>
        </w:tc>
        <w:tc>
          <w:tcPr>
            <w:tcW w:w="1455" w:type="dxa"/>
          </w:tcPr>
          <w:p w14:paraId="178BB3E1" w14:textId="77777777" w:rsidR="00031D08" w:rsidRDefault="00031D08" w:rsidP="64AA6F89">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p>
        </w:tc>
        <w:tc>
          <w:tcPr>
            <w:tcW w:w="2115" w:type="dxa"/>
          </w:tcPr>
          <w:p w14:paraId="65807283" w14:textId="77777777" w:rsidR="00031D08" w:rsidRPr="64AA6F89" w:rsidRDefault="00031D08" w:rsidP="64AA6F89">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p>
        </w:tc>
      </w:tr>
    </w:tbl>
    <w:p w14:paraId="5AB603EB" w14:textId="77777777" w:rsidR="006C51A3" w:rsidRDefault="006C51A3" w:rsidP="64AA6F89">
      <w:pPr>
        <w:spacing w:after="140" w:line="231" w:lineRule="atLeast"/>
        <w:ind w:left="20" w:right="20"/>
        <w:jc w:val="both"/>
        <w:rPr>
          <w:rFonts w:eastAsiaTheme="minorEastAsia"/>
          <w:b/>
          <w:bCs/>
          <w:color w:val="000000" w:themeColor="text1"/>
          <w:sz w:val="24"/>
          <w:szCs w:val="24"/>
          <w:lang w:val="en-US"/>
        </w:rPr>
      </w:pPr>
    </w:p>
    <w:p w14:paraId="350C34CD" w14:textId="71C1F1BC" w:rsidR="64AA6F89" w:rsidRDefault="006C51A3" w:rsidP="64AA6F89">
      <w:pPr>
        <w:spacing w:after="140" w:line="231" w:lineRule="atLeast"/>
        <w:ind w:left="20" w:right="20"/>
        <w:jc w:val="both"/>
        <w:rPr>
          <w:rFonts w:eastAsiaTheme="minorEastAsia"/>
          <w:b/>
          <w:bCs/>
          <w:color w:val="000000" w:themeColor="text1"/>
          <w:sz w:val="24"/>
          <w:szCs w:val="24"/>
          <w:lang w:val="en-US"/>
        </w:rPr>
      </w:pPr>
      <w:r>
        <w:rPr>
          <w:rFonts w:eastAsiaTheme="minorEastAsia"/>
          <w:b/>
          <w:bCs/>
          <w:color w:val="000000" w:themeColor="text1"/>
          <w:sz w:val="24"/>
          <w:szCs w:val="24"/>
          <w:lang w:val="en-US"/>
        </w:rPr>
        <w:lastRenderedPageBreak/>
        <w:t>INTRODUCTION</w:t>
      </w:r>
    </w:p>
    <w:p w14:paraId="02BF0EBA" w14:textId="7EC633F2" w:rsidR="0092652F" w:rsidRDefault="006C51A3" w:rsidP="006C51A3">
      <w:pPr>
        <w:spacing w:after="140" w:line="231" w:lineRule="atLeast"/>
        <w:ind w:left="20" w:right="20"/>
        <w:jc w:val="both"/>
        <w:rPr>
          <w:rFonts w:eastAsiaTheme="minorEastAsia"/>
          <w:color w:val="000000" w:themeColor="text1"/>
          <w:sz w:val="24"/>
          <w:szCs w:val="24"/>
        </w:rPr>
      </w:pPr>
      <w:r>
        <w:rPr>
          <w:rFonts w:eastAsiaTheme="minorEastAsia"/>
          <w:color w:val="000000" w:themeColor="text1"/>
          <w:sz w:val="24"/>
          <w:szCs w:val="24"/>
        </w:rPr>
        <w:t>Scottish Squash are committed to delivering Platinum events at the highest possible professional standard. The following terms and conditions apply to all Scottish Squash Platinum events and European and World Squash sanctioned events.</w:t>
      </w:r>
    </w:p>
    <w:p w14:paraId="14C3CF64" w14:textId="36F7E833" w:rsidR="006C51A3" w:rsidRDefault="006C51A3" w:rsidP="006C51A3">
      <w:pPr>
        <w:spacing w:after="140" w:line="231" w:lineRule="atLeast"/>
        <w:ind w:left="20" w:right="20"/>
        <w:jc w:val="both"/>
        <w:rPr>
          <w:rFonts w:eastAsiaTheme="minorEastAsia"/>
          <w:color w:val="000000" w:themeColor="text1"/>
          <w:sz w:val="24"/>
          <w:szCs w:val="24"/>
        </w:rPr>
      </w:pPr>
    </w:p>
    <w:p w14:paraId="5F93C132" w14:textId="652A3426" w:rsidR="006C51A3" w:rsidRDefault="006C51A3" w:rsidP="006C51A3">
      <w:pPr>
        <w:spacing w:after="140" w:line="231" w:lineRule="atLeast"/>
        <w:ind w:left="20" w:right="20"/>
        <w:jc w:val="both"/>
        <w:rPr>
          <w:rFonts w:eastAsiaTheme="minorEastAsia"/>
          <w:b/>
          <w:color w:val="000000" w:themeColor="text1"/>
          <w:sz w:val="24"/>
          <w:szCs w:val="24"/>
        </w:rPr>
      </w:pPr>
      <w:r>
        <w:rPr>
          <w:rFonts w:eastAsiaTheme="minorEastAsia"/>
          <w:b/>
          <w:color w:val="000000" w:themeColor="text1"/>
          <w:sz w:val="24"/>
          <w:szCs w:val="24"/>
        </w:rPr>
        <w:t>TERMS &amp; CONDITIONS</w:t>
      </w:r>
    </w:p>
    <w:p w14:paraId="14596A16" w14:textId="3D9210A2" w:rsidR="006C51A3" w:rsidRDefault="006C51A3" w:rsidP="006C51A3">
      <w:pPr>
        <w:pStyle w:val="ListParagraph"/>
        <w:numPr>
          <w:ilvl w:val="0"/>
          <w:numId w:val="3"/>
        </w:numPr>
        <w:spacing w:after="140" w:line="231" w:lineRule="atLeast"/>
        <w:ind w:right="20"/>
        <w:jc w:val="both"/>
        <w:rPr>
          <w:rFonts w:eastAsiaTheme="minorEastAsia"/>
          <w:color w:val="000000" w:themeColor="text1"/>
          <w:sz w:val="24"/>
          <w:szCs w:val="24"/>
        </w:rPr>
      </w:pPr>
      <w:r w:rsidRPr="006C51A3">
        <w:rPr>
          <w:rFonts w:eastAsiaTheme="minorEastAsia"/>
          <w:color w:val="000000" w:themeColor="text1"/>
          <w:sz w:val="24"/>
          <w:szCs w:val="24"/>
        </w:rPr>
        <w:t>Entry is open</w:t>
      </w:r>
      <w:r>
        <w:rPr>
          <w:rFonts w:eastAsiaTheme="minorEastAsia"/>
          <w:color w:val="000000" w:themeColor="text1"/>
          <w:sz w:val="24"/>
          <w:szCs w:val="24"/>
        </w:rPr>
        <w:t xml:space="preserve"> </w:t>
      </w:r>
      <w:r w:rsidRPr="006C51A3">
        <w:rPr>
          <w:rFonts w:eastAsiaTheme="minorEastAsia"/>
          <w:color w:val="000000" w:themeColor="text1"/>
          <w:sz w:val="24"/>
          <w:szCs w:val="24"/>
        </w:rPr>
        <w:t xml:space="preserve">to those </w:t>
      </w:r>
      <w:r>
        <w:rPr>
          <w:rFonts w:eastAsiaTheme="minorEastAsia"/>
          <w:color w:val="000000" w:themeColor="text1"/>
          <w:sz w:val="24"/>
          <w:szCs w:val="24"/>
        </w:rPr>
        <w:t>with</w:t>
      </w:r>
      <w:r w:rsidRPr="006C51A3">
        <w:rPr>
          <w:rFonts w:eastAsiaTheme="minorEastAsia"/>
          <w:color w:val="000000" w:themeColor="text1"/>
          <w:sz w:val="24"/>
          <w:szCs w:val="24"/>
        </w:rPr>
        <w:t xml:space="preserve"> membership of a club affiliated to Scottish Squash</w:t>
      </w:r>
      <w:r>
        <w:rPr>
          <w:rFonts w:eastAsiaTheme="minorEastAsia"/>
          <w:color w:val="000000" w:themeColor="text1"/>
          <w:sz w:val="24"/>
          <w:szCs w:val="24"/>
        </w:rPr>
        <w:t xml:space="preserve"> </w:t>
      </w:r>
      <w:r w:rsidRPr="006C51A3">
        <w:rPr>
          <w:rFonts w:eastAsiaTheme="minorEastAsia"/>
          <w:color w:val="000000" w:themeColor="text1"/>
          <w:sz w:val="24"/>
          <w:szCs w:val="24"/>
        </w:rPr>
        <w:t>Limited. </w:t>
      </w:r>
    </w:p>
    <w:p w14:paraId="2794E501" w14:textId="0D00CA4E" w:rsidR="006C51A3" w:rsidRDefault="006C51A3" w:rsidP="006C51A3">
      <w:pPr>
        <w:pStyle w:val="ListParagraph"/>
        <w:numPr>
          <w:ilvl w:val="0"/>
          <w:numId w:val="3"/>
        </w:numPr>
        <w:spacing w:after="140" w:line="231" w:lineRule="atLeast"/>
        <w:ind w:right="20"/>
        <w:jc w:val="both"/>
        <w:rPr>
          <w:rFonts w:eastAsiaTheme="minorEastAsia"/>
          <w:color w:val="000000" w:themeColor="text1"/>
          <w:sz w:val="24"/>
          <w:szCs w:val="24"/>
        </w:rPr>
      </w:pPr>
      <w:r w:rsidRPr="006C51A3">
        <w:rPr>
          <w:rFonts w:eastAsiaTheme="minorEastAsia"/>
          <w:color w:val="000000" w:themeColor="text1"/>
          <w:sz w:val="24"/>
          <w:szCs w:val="24"/>
        </w:rPr>
        <w:t xml:space="preserve">The event will be played under the rules of the WSF and the Scottish Squash Code of Conduct and Fair Play </w:t>
      </w:r>
      <w:r>
        <w:rPr>
          <w:rFonts w:eastAsiaTheme="minorEastAsia"/>
          <w:color w:val="000000" w:themeColor="text1"/>
          <w:sz w:val="24"/>
          <w:szCs w:val="24"/>
        </w:rPr>
        <w:t>Policy</w:t>
      </w:r>
      <w:r w:rsidRPr="006C51A3">
        <w:rPr>
          <w:rFonts w:eastAsiaTheme="minorEastAsia"/>
          <w:color w:val="000000" w:themeColor="text1"/>
          <w:sz w:val="24"/>
          <w:szCs w:val="24"/>
        </w:rPr>
        <w:t xml:space="preserve"> will apply</w:t>
      </w:r>
      <w:r>
        <w:rPr>
          <w:rFonts w:eastAsiaTheme="minorEastAsia"/>
          <w:color w:val="000000" w:themeColor="text1"/>
          <w:sz w:val="24"/>
          <w:szCs w:val="24"/>
        </w:rPr>
        <w:t>.</w:t>
      </w:r>
    </w:p>
    <w:p w14:paraId="725DB939" w14:textId="56B372A1" w:rsidR="006C51A3" w:rsidRDefault="006C51A3" w:rsidP="006C51A3">
      <w:pPr>
        <w:pStyle w:val="ListParagraph"/>
        <w:numPr>
          <w:ilvl w:val="0"/>
          <w:numId w:val="3"/>
        </w:numPr>
        <w:spacing w:after="140" w:line="231" w:lineRule="atLeast"/>
        <w:ind w:right="20"/>
        <w:jc w:val="both"/>
        <w:rPr>
          <w:rFonts w:eastAsiaTheme="minorEastAsia"/>
          <w:color w:val="000000" w:themeColor="text1"/>
          <w:sz w:val="24"/>
          <w:szCs w:val="24"/>
        </w:rPr>
      </w:pPr>
      <w:r w:rsidRPr="006C51A3">
        <w:rPr>
          <w:rFonts w:eastAsiaTheme="minorEastAsia"/>
          <w:color w:val="000000" w:themeColor="text1"/>
          <w:sz w:val="24"/>
          <w:szCs w:val="24"/>
        </w:rPr>
        <w:t>Players must compete in all scheduled matches, both main draw and play-off matches. Failure to complete all matches will result in participants being awarded no points, unless an appropriate medical certificate explaining a sound reason is provided to the Scottish Squash</w:t>
      </w:r>
      <w:r>
        <w:rPr>
          <w:rFonts w:eastAsiaTheme="minorEastAsia"/>
          <w:color w:val="000000" w:themeColor="text1"/>
          <w:sz w:val="24"/>
          <w:szCs w:val="24"/>
        </w:rPr>
        <w:t xml:space="preserve"> </w:t>
      </w:r>
      <w:r w:rsidRPr="006C51A3">
        <w:rPr>
          <w:rFonts w:eastAsiaTheme="minorEastAsia"/>
          <w:color w:val="000000" w:themeColor="text1"/>
          <w:sz w:val="24"/>
          <w:szCs w:val="24"/>
        </w:rPr>
        <w:t>within the working week following the event. Once a player starts in the tournament, every match </w:t>
      </w:r>
      <w:proofErr w:type="gramStart"/>
      <w:r w:rsidRPr="006C51A3">
        <w:rPr>
          <w:rFonts w:eastAsiaTheme="minorEastAsia"/>
          <w:color w:val="000000" w:themeColor="text1"/>
          <w:sz w:val="24"/>
          <w:szCs w:val="24"/>
        </w:rPr>
        <w:t>counts</w:t>
      </w:r>
      <w:proofErr w:type="gramEnd"/>
      <w:r w:rsidRPr="006C51A3">
        <w:rPr>
          <w:rFonts w:eastAsiaTheme="minorEastAsia"/>
          <w:color w:val="000000" w:themeColor="text1"/>
          <w:sz w:val="24"/>
          <w:szCs w:val="24"/>
        </w:rPr>
        <w:t> towards the rankings whether a match is played or not</w:t>
      </w:r>
      <w:r>
        <w:rPr>
          <w:rFonts w:eastAsiaTheme="minorEastAsia"/>
          <w:color w:val="000000" w:themeColor="text1"/>
          <w:sz w:val="24"/>
          <w:szCs w:val="24"/>
        </w:rPr>
        <w:t>.</w:t>
      </w:r>
    </w:p>
    <w:p w14:paraId="3D41606E" w14:textId="6D90AB87" w:rsidR="006C51A3" w:rsidRDefault="006C51A3" w:rsidP="006C51A3">
      <w:pPr>
        <w:pStyle w:val="ListParagraph"/>
        <w:numPr>
          <w:ilvl w:val="0"/>
          <w:numId w:val="3"/>
        </w:numPr>
        <w:spacing w:after="140" w:line="231" w:lineRule="atLeast"/>
        <w:ind w:right="20"/>
        <w:jc w:val="both"/>
        <w:rPr>
          <w:rFonts w:eastAsiaTheme="minorEastAsia"/>
          <w:color w:val="000000" w:themeColor="text1"/>
          <w:sz w:val="24"/>
          <w:szCs w:val="24"/>
        </w:rPr>
      </w:pPr>
      <w:r>
        <w:rPr>
          <w:rStyle w:val="normaltextrun"/>
          <w:rFonts w:ascii="Calibri" w:hAnsi="Calibri" w:cs="Calibri"/>
          <w:color w:val="000000"/>
          <w:bdr w:val="none" w:sz="0" w:space="0" w:color="auto" w:frame="1"/>
        </w:rPr>
        <w:t>S</w:t>
      </w:r>
      <w:r w:rsidRPr="006C51A3">
        <w:rPr>
          <w:rFonts w:eastAsiaTheme="minorEastAsia"/>
          <w:color w:val="000000" w:themeColor="text1"/>
          <w:sz w:val="24"/>
          <w:szCs w:val="24"/>
        </w:rPr>
        <w:t>cheduled match times are a guide only – players are expected to be available to follow on immediately</w:t>
      </w:r>
      <w:r>
        <w:rPr>
          <w:rFonts w:eastAsiaTheme="minorEastAsia"/>
          <w:color w:val="000000" w:themeColor="text1"/>
          <w:sz w:val="24"/>
          <w:szCs w:val="24"/>
        </w:rPr>
        <w:t xml:space="preserve"> from the</w:t>
      </w:r>
      <w:r w:rsidRPr="006C51A3">
        <w:rPr>
          <w:rFonts w:eastAsiaTheme="minorEastAsia"/>
          <w:color w:val="000000" w:themeColor="text1"/>
          <w:sz w:val="24"/>
          <w:szCs w:val="24"/>
        </w:rPr>
        <w:t xml:space="preserve"> previous match.</w:t>
      </w:r>
    </w:p>
    <w:p w14:paraId="62115AB1" w14:textId="0687A800" w:rsidR="006C51A3" w:rsidRDefault="006C51A3" w:rsidP="006C51A3">
      <w:pPr>
        <w:pStyle w:val="ListParagraph"/>
        <w:numPr>
          <w:ilvl w:val="0"/>
          <w:numId w:val="3"/>
        </w:numPr>
        <w:spacing w:after="140" w:line="231" w:lineRule="atLeast"/>
        <w:ind w:right="20"/>
        <w:jc w:val="both"/>
        <w:rPr>
          <w:rFonts w:eastAsiaTheme="minorEastAsia"/>
          <w:color w:val="000000" w:themeColor="text1"/>
          <w:sz w:val="24"/>
          <w:szCs w:val="24"/>
        </w:rPr>
      </w:pPr>
      <w:r w:rsidRPr="006C51A3">
        <w:rPr>
          <w:rFonts w:eastAsiaTheme="minorEastAsia"/>
          <w:color w:val="000000" w:themeColor="text1"/>
          <w:sz w:val="24"/>
          <w:szCs w:val="24"/>
        </w:rPr>
        <w:t>All matches must be played as per the schedule in the competition draws. Only in exceptional circumstances where an alteration can be accommodated and is agreed by all players concerned may the schedule be differed from.</w:t>
      </w:r>
    </w:p>
    <w:p w14:paraId="1D44BD47" w14:textId="31A5FABC" w:rsidR="006C51A3" w:rsidRDefault="006C51A3" w:rsidP="006C51A3">
      <w:pPr>
        <w:pStyle w:val="ListParagraph"/>
        <w:numPr>
          <w:ilvl w:val="0"/>
          <w:numId w:val="3"/>
        </w:numPr>
        <w:spacing w:after="140" w:line="231" w:lineRule="atLeast"/>
        <w:ind w:right="20"/>
        <w:jc w:val="both"/>
        <w:rPr>
          <w:rFonts w:eastAsiaTheme="minorEastAsia"/>
          <w:color w:val="000000" w:themeColor="text1"/>
          <w:sz w:val="24"/>
          <w:szCs w:val="24"/>
        </w:rPr>
      </w:pPr>
      <w:r w:rsidRPr="001F5A36">
        <w:rPr>
          <w:rFonts w:eastAsiaTheme="minorEastAsia"/>
          <w:color w:val="000000" w:themeColor="text1"/>
          <w:sz w:val="24"/>
          <w:szCs w:val="24"/>
        </w:rPr>
        <w:t>P</w:t>
      </w:r>
      <w:r w:rsidRPr="006C51A3">
        <w:rPr>
          <w:rFonts w:eastAsiaTheme="minorEastAsia"/>
          <w:color w:val="000000" w:themeColor="text1"/>
          <w:sz w:val="24"/>
          <w:szCs w:val="24"/>
        </w:rPr>
        <w:t xml:space="preserve">layers </w:t>
      </w:r>
      <w:r>
        <w:rPr>
          <w:rFonts w:eastAsiaTheme="minorEastAsia"/>
          <w:color w:val="000000" w:themeColor="text1"/>
          <w:sz w:val="24"/>
          <w:szCs w:val="24"/>
        </w:rPr>
        <w:t>must</w:t>
      </w:r>
      <w:r w:rsidRPr="006C51A3">
        <w:rPr>
          <w:rFonts w:eastAsiaTheme="minorEastAsia"/>
          <w:color w:val="000000" w:themeColor="text1"/>
          <w:sz w:val="24"/>
          <w:szCs w:val="24"/>
        </w:rPr>
        <w:t xml:space="preserve"> check</w:t>
      </w:r>
      <w:r>
        <w:rPr>
          <w:rFonts w:eastAsiaTheme="minorEastAsia"/>
          <w:color w:val="000000" w:themeColor="text1"/>
          <w:sz w:val="24"/>
          <w:szCs w:val="24"/>
        </w:rPr>
        <w:t>-</w:t>
      </w:r>
      <w:r w:rsidRPr="006C51A3">
        <w:rPr>
          <w:rFonts w:eastAsiaTheme="minorEastAsia"/>
          <w:color w:val="000000" w:themeColor="text1"/>
          <w:sz w:val="24"/>
          <w:szCs w:val="24"/>
        </w:rPr>
        <w:t xml:space="preserve">in at the tournament desk at least </w:t>
      </w:r>
      <w:r w:rsidR="00FF5E64">
        <w:rPr>
          <w:rFonts w:eastAsiaTheme="minorEastAsia"/>
          <w:color w:val="000000" w:themeColor="text1"/>
          <w:sz w:val="24"/>
          <w:szCs w:val="24"/>
        </w:rPr>
        <w:t xml:space="preserve">thirty </w:t>
      </w:r>
      <w:r w:rsidRPr="006C51A3">
        <w:rPr>
          <w:rFonts w:eastAsiaTheme="minorEastAsia"/>
          <w:color w:val="000000" w:themeColor="text1"/>
          <w:sz w:val="24"/>
          <w:szCs w:val="24"/>
        </w:rPr>
        <w:t>min</w:t>
      </w:r>
      <w:r w:rsidR="00FF5E64">
        <w:rPr>
          <w:rFonts w:eastAsiaTheme="minorEastAsia"/>
          <w:color w:val="000000" w:themeColor="text1"/>
          <w:sz w:val="24"/>
          <w:szCs w:val="24"/>
        </w:rPr>
        <w:t>utes</w:t>
      </w:r>
      <w:r w:rsidRPr="006C51A3">
        <w:rPr>
          <w:rFonts w:eastAsiaTheme="minorEastAsia"/>
          <w:color w:val="000000" w:themeColor="text1"/>
          <w:sz w:val="24"/>
          <w:szCs w:val="24"/>
        </w:rPr>
        <w:t xml:space="preserve"> prior to the start of play.</w:t>
      </w:r>
    </w:p>
    <w:p w14:paraId="07994B20" w14:textId="77777777" w:rsidR="00FF5E64" w:rsidRPr="001F5A36" w:rsidRDefault="00FF5E64" w:rsidP="006C51A3">
      <w:pPr>
        <w:pStyle w:val="ListParagraph"/>
        <w:numPr>
          <w:ilvl w:val="0"/>
          <w:numId w:val="3"/>
        </w:numPr>
        <w:spacing w:after="140" w:line="231" w:lineRule="atLeast"/>
        <w:ind w:right="20"/>
        <w:jc w:val="both"/>
      </w:pPr>
      <w:r w:rsidRPr="001F5A36">
        <w:rPr>
          <w:rFonts w:eastAsiaTheme="minorEastAsia"/>
          <w:color w:val="000000" w:themeColor="text1"/>
          <w:sz w:val="24"/>
          <w:szCs w:val="24"/>
        </w:rPr>
        <w:t>Players will be required to mark and referee matches.</w:t>
      </w:r>
    </w:p>
    <w:p w14:paraId="4790D98F" w14:textId="1B31AE49" w:rsidR="00FF5E64" w:rsidRPr="001F5A36" w:rsidRDefault="00FF5E64" w:rsidP="006C51A3">
      <w:pPr>
        <w:pStyle w:val="ListParagraph"/>
        <w:numPr>
          <w:ilvl w:val="0"/>
          <w:numId w:val="3"/>
        </w:numPr>
        <w:spacing w:after="140" w:line="231" w:lineRule="atLeast"/>
        <w:ind w:right="20"/>
        <w:jc w:val="both"/>
      </w:pPr>
      <w:r w:rsidRPr="001F5A36">
        <w:rPr>
          <w:rFonts w:eastAsiaTheme="minorEastAsia"/>
          <w:color w:val="000000" w:themeColor="text1"/>
          <w:sz w:val="24"/>
          <w:szCs w:val="24"/>
        </w:rPr>
        <w:t>Players enter and play in Scottish Squash sanctioned events at their own risk. Scottish Squash and the host venue do not accept any responsibility for injury arising from participation in the tournament.</w:t>
      </w:r>
    </w:p>
    <w:p w14:paraId="5BF7F57E" w14:textId="1C6FBC62" w:rsidR="00FF5E64" w:rsidRPr="001F5A36" w:rsidRDefault="00FF5E64" w:rsidP="006C51A3">
      <w:pPr>
        <w:pStyle w:val="ListParagraph"/>
        <w:numPr>
          <w:ilvl w:val="0"/>
          <w:numId w:val="3"/>
        </w:numPr>
        <w:spacing w:after="140" w:line="231" w:lineRule="atLeast"/>
        <w:ind w:right="20"/>
        <w:jc w:val="both"/>
        <w:rPr>
          <w:rFonts w:eastAsiaTheme="minorEastAsia"/>
          <w:color w:val="000000" w:themeColor="text1"/>
          <w:sz w:val="24"/>
          <w:szCs w:val="24"/>
        </w:rPr>
      </w:pPr>
      <w:r w:rsidRPr="001F5A36">
        <w:rPr>
          <w:rFonts w:eastAsiaTheme="minorEastAsia"/>
          <w:color w:val="000000" w:themeColor="text1"/>
          <w:sz w:val="24"/>
          <w:szCs w:val="24"/>
        </w:rPr>
        <w:t>Scottish Squash will be publishing draws, results, photos of players as well as live footage from matches, players and the venue. The organisers will deem that players and their parents/carers have accepted these regulations by entering the tournament.</w:t>
      </w:r>
    </w:p>
    <w:p w14:paraId="059AC8A2" w14:textId="358E8C43" w:rsidR="001F5A36" w:rsidRPr="001F5A36" w:rsidRDefault="001F5A36" w:rsidP="006C51A3">
      <w:pPr>
        <w:pStyle w:val="ListParagraph"/>
        <w:numPr>
          <w:ilvl w:val="0"/>
          <w:numId w:val="3"/>
        </w:numPr>
        <w:spacing w:after="140" w:line="231" w:lineRule="atLeast"/>
        <w:ind w:right="20"/>
        <w:jc w:val="both"/>
      </w:pPr>
      <w:r w:rsidRPr="001F5A36">
        <w:rPr>
          <w:rFonts w:eastAsiaTheme="minorEastAsia"/>
          <w:color w:val="000000" w:themeColor="text1"/>
          <w:sz w:val="24"/>
          <w:szCs w:val="24"/>
        </w:rPr>
        <w:t>Drug testing may take place at this event in accordance to the Scottish Squash Anti-Doping Policy and by submitting their entry entrants provide their consent for this.</w:t>
      </w:r>
    </w:p>
    <w:p w14:paraId="6E27D588" w14:textId="04FE3526" w:rsidR="001F5A36" w:rsidRPr="001F5A36" w:rsidRDefault="001F5A36" w:rsidP="001F5A36">
      <w:pPr>
        <w:pStyle w:val="ListParagraph"/>
        <w:numPr>
          <w:ilvl w:val="0"/>
          <w:numId w:val="3"/>
        </w:numPr>
        <w:rPr>
          <w:rFonts w:eastAsiaTheme="minorEastAsia"/>
          <w:color w:val="000000" w:themeColor="text1"/>
          <w:szCs w:val="24"/>
        </w:rPr>
      </w:pPr>
      <w:r w:rsidRPr="001F5A36">
        <w:rPr>
          <w:rFonts w:eastAsiaTheme="minorEastAsia"/>
          <w:color w:val="000000" w:themeColor="text1"/>
          <w:sz w:val="24"/>
          <w:szCs w:val="24"/>
        </w:rPr>
        <w:t xml:space="preserve">All players who are under 19 years of age are required to wear approved eye protection whenever they participate in Scottish Squash sanctioned events and competitions. The Scottish Squash Eye Protection Policy applies which can be found </w:t>
      </w:r>
      <w:hyperlink r:id="rId11" w:anchor="toggle-id-8" w:history="1">
        <w:r w:rsidRPr="001F5A36">
          <w:rPr>
            <w:color w:val="000000" w:themeColor="text1"/>
          </w:rPr>
          <w:t>here</w:t>
        </w:r>
      </w:hyperlink>
      <w:r w:rsidRPr="001F5A36">
        <w:rPr>
          <w:rFonts w:eastAsiaTheme="minorEastAsia"/>
          <w:color w:val="000000" w:themeColor="text1"/>
          <w:sz w:val="24"/>
          <w:szCs w:val="24"/>
        </w:rPr>
        <w:t>.</w:t>
      </w:r>
      <w:bookmarkStart w:id="0" w:name="_GoBack"/>
      <w:bookmarkEnd w:id="0"/>
    </w:p>
    <w:p w14:paraId="4575D69A" w14:textId="70754C85" w:rsidR="001F5A36" w:rsidRPr="006C51A3" w:rsidRDefault="001F5A36" w:rsidP="006C51A3">
      <w:pPr>
        <w:pStyle w:val="ListParagraph"/>
        <w:numPr>
          <w:ilvl w:val="0"/>
          <w:numId w:val="3"/>
        </w:numPr>
        <w:spacing w:after="140" w:line="231" w:lineRule="atLeast"/>
        <w:ind w:right="20"/>
        <w:jc w:val="both"/>
        <w:rPr>
          <w:rFonts w:eastAsiaTheme="minorEastAsia"/>
          <w:color w:val="000000" w:themeColor="text1"/>
          <w:sz w:val="24"/>
          <w:szCs w:val="24"/>
        </w:rPr>
      </w:pPr>
      <w:r w:rsidRPr="001F5A36">
        <w:rPr>
          <w:rFonts w:eastAsiaTheme="minorEastAsia"/>
          <w:color w:val="000000" w:themeColor="text1"/>
          <w:sz w:val="24"/>
          <w:szCs w:val="24"/>
        </w:rPr>
        <w:t>The decision of the Tournament Director will be final.</w:t>
      </w:r>
    </w:p>
    <w:sectPr w:rsidR="001F5A36" w:rsidRPr="006C51A3">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A13DB0" w14:textId="77777777" w:rsidR="001355BC" w:rsidRDefault="001355BC" w:rsidP="0092652F">
      <w:pPr>
        <w:spacing w:after="0" w:line="240" w:lineRule="auto"/>
      </w:pPr>
      <w:r>
        <w:separator/>
      </w:r>
    </w:p>
  </w:endnote>
  <w:endnote w:type="continuationSeparator" w:id="0">
    <w:p w14:paraId="6F53E903" w14:textId="77777777" w:rsidR="001355BC" w:rsidRDefault="001355BC" w:rsidP="00926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0FE868" w14:textId="77777777" w:rsidR="001355BC" w:rsidRDefault="001355BC" w:rsidP="0092652F">
      <w:pPr>
        <w:spacing w:after="0" w:line="240" w:lineRule="auto"/>
      </w:pPr>
      <w:r>
        <w:separator/>
      </w:r>
    </w:p>
  </w:footnote>
  <w:footnote w:type="continuationSeparator" w:id="0">
    <w:p w14:paraId="7197FF53" w14:textId="77777777" w:rsidR="001355BC" w:rsidRDefault="001355BC" w:rsidP="009265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343139"/>
    <w:multiLevelType w:val="hybridMultilevel"/>
    <w:tmpl w:val="7E1C74DC"/>
    <w:lvl w:ilvl="0" w:tplc="FACE6D88">
      <w:start w:val="1"/>
      <w:numFmt w:val="decimal"/>
      <w:lvlText w:val="%1."/>
      <w:lvlJc w:val="left"/>
      <w:pPr>
        <w:ind w:left="380" w:hanging="360"/>
      </w:pPr>
      <w:rPr>
        <w:rFonts w:hint="default"/>
      </w:rPr>
    </w:lvl>
    <w:lvl w:ilvl="1" w:tplc="08090019" w:tentative="1">
      <w:start w:val="1"/>
      <w:numFmt w:val="lowerLetter"/>
      <w:lvlText w:val="%2."/>
      <w:lvlJc w:val="left"/>
      <w:pPr>
        <w:ind w:left="1100" w:hanging="360"/>
      </w:pPr>
    </w:lvl>
    <w:lvl w:ilvl="2" w:tplc="0809001B" w:tentative="1">
      <w:start w:val="1"/>
      <w:numFmt w:val="lowerRoman"/>
      <w:lvlText w:val="%3."/>
      <w:lvlJc w:val="right"/>
      <w:pPr>
        <w:ind w:left="1820" w:hanging="180"/>
      </w:pPr>
    </w:lvl>
    <w:lvl w:ilvl="3" w:tplc="0809000F" w:tentative="1">
      <w:start w:val="1"/>
      <w:numFmt w:val="decimal"/>
      <w:lvlText w:val="%4."/>
      <w:lvlJc w:val="left"/>
      <w:pPr>
        <w:ind w:left="2540" w:hanging="360"/>
      </w:pPr>
    </w:lvl>
    <w:lvl w:ilvl="4" w:tplc="08090019" w:tentative="1">
      <w:start w:val="1"/>
      <w:numFmt w:val="lowerLetter"/>
      <w:lvlText w:val="%5."/>
      <w:lvlJc w:val="left"/>
      <w:pPr>
        <w:ind w:left="3260" w:hanging="360"/>
      </w:pPr>
    </w:lvl>
    <w:lvl w:ilvl="5" w:tplc="0809001B" w:tentative="1">
      <w:start w:val="1"/>
      <w:numFmt w:val="lowerRoman"/>
      <w:lvlText w:val="%6."/>
      <w:lvlJc w:val="right"/>
      <w:pPr>
        <w:ind w:left="3980" w:hanging="180"/>
      </w:pPr>
    </w:lvl>
    <w:lvl w:ilvl="6" w:tplc="0809000F" w:tentative="1">
      <w:start w:val="1"/>
      <w:numFmt w:val="decimal"/>
      <w:lvlText w:val="%7."/>
      <w:lvlJc w:val="left"/>
      <w:pPr>
        <w:ind w:left="4700" w:hanging="360"/>
      </w:pPr>
    </w:lvl>
    <w:lvl w:ilvl="7" w:tplc="08090019" w:tentative="1">
      <w:start w:val="1"/>
      <w:numFmt w:val="lowerLetter"/>
      <w:lvlText w:val="%8."/>
      <w:lvlJc w:val="left"/>
      <w:pPr>
        <w:ind w:left="5420" w:hanging="360"/>
      </w:pPr>
    </w:lvl>
    <w:lvl w:ilvl="8" w:tplc="0809001B" w:tentative="1">
      <w:start w:val="1"/>
      <w:numFmt w:val="lowerRoman"/>
      <w:lvlText w:val="%9."/>
      <w:lvlJc w:val="right"/>
      <w:pPr>
        <w:ind w:left="6140" w:hanging="180"/>
      </w:pPr>
    </w:lvl>
  </w:abstractNum>
  <w:abstractNum w:abstractNumId="1" w15:restartNumberingAfterBreak="0">
    <w:nsid w:val="28C25384"/>
    <w:multiLevelType w:val="hybridMultilevel"/>
    <w:tmpl w:val="5AF602E4"/>
    <w:lvl w:ilvl="0" w:tplc="4A3C513C">
      <w:start w:val="1"/>
      <w:numFmt w:val="bullet"/>
      <w:lvlText w:val=""/>
      <w:lvlJc w:val="left"/>
      <w:pPr>
        <w:ind w:left="720" w:hanging="360"/>
      </w:pPr>
      <w:rPr>
        <w:rFonts w:ascii="Symbol" w:hAnsi="Symbol" w:hint="default"/>
      </w:rPr>
    </w:lvl>
    <w:lvl w:ilvl="1" w:tplc="EDB61B1E">
      <w:start w:val="1"/>
      <w:numFmt w:val="bullet"/>
      <w:lvlText w:val="o"/>
      <w:lvlJc w:val="left"/>
      <w:pPr>
        <w:ind w:left="1440" w:hanging="360"/>
      </w:pPr>
      <w:rPr>
        <w:rFonts w:ascii="Courier New" w:hAnsi="Courier New" w:hint="default"/>
      </w:rPr>
    </w:lvl>
    <w:lvl w:ilvl="2" w:tplc="9B30F578">
      <w:start w:val="1"/>
      <w:numFmt w:val="bullet"/>
      <w:lvlText w:val=""/>
      <w:lvlJc w:val="left"/>
      <w:pPr>
        <w:ind w:left="2160" w:hanging="360"/>
      </w:pPr>
      <w:rPr>
        <w:rFonts w:ascii="Wingdings" w:hAnsi="Wingdings" w:hint="default"/>
      </w:rPr>
    </w:lvl>
    <w:lvl w:ilvl="3" w:tplc="B492FB8C">
      <w:start w:val="1"/>
      <w:numFmt w:val="bullet"/>
      <w:lvlText w:val=""/>
      <w:lvlJc w:val="left"/>
      <w:pPr>
        <w:ind w:left="2880" w:hanging="360"/>
      </w:pPr>
      <w:rPr>
        <w:rFonts w:ascii="Symbol" w:hAnsi="Symbol" w:hint="default"/>
      </w:rPr>
    </w:lvl>
    <w:lvl w:ilvl="4" w:tplc="E862A74A">
      <w:start w:val="1"/>
      <w:numFmt w:val="bullet"/>
      <w:lvlText w:val="o"/>
      <w:lvlJc w:val="left"/>
      <w:pPr>
        <w:ind w:left="3600" w:hanging="360"/>
      </w:pPr>
      <w:rPr>
        <w:rFonts w:ascii="Courier New" w:hAnsi="Courier New" w:hint="default"/>
      </w:rPr>
    </w:lvl>
    <w:lvl w:ilvl="5" w:tplc="2B9EBED4">
      <w:start w:val="1"/>
      <w:numFmt w:val="bullet"/>
      <w:lvlText w:val=""/>
      <w:lvlJc w:val="left"/>
      <w:pPr>
        <w:ind w:left="4320" w:hanging="360"/>
      </w:pPr>
      <w:rPr>
        <w:rFonts w:ascii="Wingdings" w:hAnsi="Wingdings" w:hint="default"/>
      </w:rPr>
    </w:lvl>
    <w:lvl w:ilvl="6" w:tplc="7FE60A32">
      <w:start w:val="1"/>
      <w:numFmt w:val="bullet"/>
      <w:lvlText w:val=""/>
      <w:lvlJc w:val="left"/>
      <w:pPr>
        <w:ind w:left="5040" w:hanging="360"/>
      </w:pPr>
      <w:rPr>
        <w:rFonts w:ascii="Symbol" w:hAnsi="Symbol" w:hint="default"/>
      </w:rPr>
    </w:lvl>
    <w:lvl w:ilvl="7" w:tplc="5F329D66">
      <w:start w:val="1"/>
      <w:numFmt w:val="bullet"/>
      <w:lvlText w:val="o"/>
      <w:lvlJc w:val="left"/>
      <w:pPr>
        <w:ind w:left="5760" w:hanging="360"/>
      </w:pPr>
      <w:rPr>
        <w:rFonts w:ascii="Courier New" w:hAnsi="Courier New" w:hint="default"/>
      </w:rPr>
    </w:lvl>
    <w:lvl w:ilvl="8" w:tplc="FB6C175E">
      <w:start w:val="1"/>
      <w:numFmt w:val="bullet"/>
      <w:lvlText w:val=""/>
      <w:lvlJc w:val="left"/>
      <w:pPr>
        <w:ind w:left="6480" w:hanging="360"/>
      </w:pPr>
      <w:rPr>
        <w:rFonts w:ascii="Wingdings" w:hAnsi="Wingdings" w:hint="default"/>
      </w:rPr>
    </w:lvl>
  </w:abstractNum>
  <w:abstractNum w:abstractNumId="2" w15:restartNumberingAfterBreak="0">
    <w:nsid w:val="7D0F05DE"/>
    <w:multiLevelType w:val="hybridMultilevel"/>
    <w:tmpl w:val="87568248"/>
    <w:lvl w:ilvl="0" w:tplc="8C10C6EA">
      <w:start w:val="1"/>
      <w:numFmt w:val="bullet"/>
      <w:lvlText w:val=""/>
      <w:lvlJc w:val="left"/>
      <w:pPr>
        <w:ind w:left="720" w:hanging="360"/>
      </w:pPr>
      <w:rPr>
        <w:rFonts w:ascii="Symbol" w:hAnsi="Symbol" w:hint="default"/>
      </w:rPr>
    </w:lvl>
    <w:lvl w:ilvl="1" w:tplc="B6A8BF30">
      <w:start w:val="1"/>
      <w:numFmt w:val="bullet"/>
      <w:lvlText w:val="o"/>
      <w:lvlJc w:val="left"/>
      <w:pPr>
        <w:ind w:left="1440" w:hanging="360"/>
      </w:pPr>
      <w:rPr>
        <w:rFonts w:ascii="Courier New" w:hAnsi="Courier New" w:hint="default"/>
      </w:rPr>
    </w:lvl>
    <w:lvl w:ilvl="2" w:tplc="2B641C7A">
      <w:start w:val="1"/>
      <w:numFmt w:val="bullet"/>
      <w:lvlText w:val=""/>
      <w:lvlJc w:val="left"/>
      <w:pPr>
        <w:ind w:left="2160" w:hanging="360"/>
      </w:pPr>
      <w:rPr>
        <w:rFonts w:ascii="Wingdings" w:hAnsi="Wingdings" w:hint="default"/>
      </w:rPr>
    </w:lvl>
    <w:lvl w:ilvl="3" w:tplc="F7F2C19E">
      <w:start w:val="1"/>
      <w:numFmt w:val="bullet"/>
      <w:lvlText w:val=""/>
      <w:lvlJc w:val="left"/>
      <w:pPr>
        <w:ind w:left="2880" w:hanging="360"/>
      </w:pPr>
      <w:rPr>
        <w:rFonts w:ascii="Symbol" w:hAnsi="Symbol" w:hint="default"/>
      </w:rPr>
    </w:lvl>
    <w:lvl w:ilvl="4" w:tplc="6BC61476">
      <w:start w:val="1"/>
      <w:numFmt w:val="bullet"/>
      <w:lvlText w:val="o"/>
      <w:lvlJc w:val="left"/>
      <w:pPr>
        <w:ind w:left="3600" w:hanging="360"/>
      </w:pPr>
      <w:rPr>
        <w:rFonts w:ascii="Courier New" w:hAnsi="Courier New" w:hint="default"/>
      </w:rPr>
    </w:lvl>
    <w:lvl w:ilvl="5" w:tplc="5690466A">
      <w:start w:val="1"/>
      <w:numFmt w:val="bullet"/>
      <w:lvlText w:val=""/>
      <w:lvlJc w:val="left"/>
      <w:pPr>
        <w:ind w:left="4320" w:hanging="360"/>
      </w:pPr>
      <w:rPr>
        <w:rFonts w:ascii="Wingdings" w:hAnsi="Wingdings" w:hint="default"/>
      </w:rPr>
    </w:lvl>
    <w:lvl w:ilvl="6" w:tplc="B186E64E">
      <w:start w:val="1"/>
      <w:numFmt w:val="bullet"/>
      <w:lvlText w:val=""/>
      <w:lvlJc w:val="left"/>
      <w:pPr>
        <w:ind w:left="5040" w:hanging="360"/>
      </w:pPr>
      <w:rPr>
        <w:rFonts w:ascii="Symbol" w:hAnsi="Symbol" w:hint="default"/>
      </w:rPr>
    </w:lvl>
    <w:lvl w:ilvl="7" w:tplc="BDA054EE">
      <w:start w:val="1"/>
      <w:numFmt w:val="bullet"/>
      <w:lvlText w:val="o"/>
      <w:lvlJc w:val="left"/>
      <w:pPr>
        <w:ind w:left="5760" w:hanging="360"/>
      </w:pPr>
      <w:rPr>
        <w:rFonts w:ascii="Courier New" w:hAnsi="Courier New" w:hint="default"/>
      </w:rPr>
    </w:lvl>
    <w:lvl w:ilvl="8" w:tplc="8790087A">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F12A89B"/>
    <w:rsid w:val="00031D08"/>
    <w:rsid w:val="000866C6"/>
    <w:rsid w:val="001355BC"/>
    <w:rsid w:val="001F5A36"/>
    <w:rsid w:val="0030286A"/>
    <w:rsid w:val="006C51A3"/>
    <w:rsid w:val="0092652F"/>
    <w:rsid w:val="00F86F10"/>
    <w:rsid w:val="00FF5E64"/>
    <w:rsid w:val="3F12A89B"/>
    <w:rsid w:val="64AA6F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2A89B"/>
  <w15:chartTrackingRefBased/>
  <w15:docId w15:val="{961863B7-5ED3-4598-9520-806DA5207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92652F"/>
    <w:pPr>
      <w:keepNext/>
      <w:spacing w:after="0" w:line="240" w:lineRule="auto"/>
      <w:jc w:val="both"/>
      <w:outlineLvl w:val="1"/>
    </w:pPr>
    <w:rPr>
      <w:rFonts w:ascii="Arial" w:eastAsia="Times New Roman" w:hAnsi="Arial" w:cs="Times New Roman"/>
      <w:b/>
      <w:sz w:val="16"/>
      <w:szCs w:val="20"/>
    </w:rPr>
  </w:style>
  <w:style w:type="paragraph" w:styleId="Heading3">
    <w:name w:val="heading 3"/>
    <w:basedOn w:val="Normal"/>
    <w:next w:val="Normal"/>
    <w:link w:val="Heading3Char"/>
    <w:qFormat/>
    <w:rsid w:val="0092652F"/>
    <w:pPr>
      <w:keepNext/>
      <w:spacing w:before="120" w:after="120" w:line="22" w:lineRule="atLeast"/>
      <w:outlineLvl w:val="2"/>
    </w:pPr>
    <w:rPr>
      <w:rFonts w:ascii="Verdana" w:eastAsia="Times New Roman" w:hAnsi="Verdana" w:cs="Times New Roman"/>
      <w:b/>
      <w:bCs/>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pPr>
      <w:ind w:left="720"/>
      <w:contextualSpacing/>
    </w:pPr>
  </w:style>
  <w:style w:type="character" w:customStyle="1" w:styleId="Heading2Char">
    <w:name w:val="Heading 2 Char"/>
    <w:basedOn w:val="DefaultParagraphFont"/>
    <w:link w:val="Heading2"/>
    <w:rsid w:val="0092652F"/>
    <w:rPr>
      <w:rFonts w:ascii="Arial" w:eastAsia="Times New Roman" w:hAnsi="Arial" w:cs="Times New Roman"/>
      <w:b/>
      <w:sz w:val="16"/>
      <w:szCs w:val="20"/>
    </w:rPr>
  </w:style>
  <w:style w:type="character" w:customStyle="1" w:styleId="Heading3Char">
    <w:name w:val="Heading 3 Char"/>
    <w:basedOn w:val="DefaultParagraphFont"/>
    <w:link w:val="Heading3"/>
    <w:rsid w:val="0092652F"/>
    <w:rPr>
      <w:rFonts w:ascii="Verdana" w:eastAsia="Times New Roman" w:hAnsi="Verdana" w:cs="Times New Roman"/>
      <w:b/>
      <w:bCs/>
      <w:i/>
      <w:iCs/>
      <w:sz w:val="20"/>
      <w:szCs w:val="20"/>
    </w:rPr>
  </w:style>
  <w:style w:type="paragraph" w:styleId="FootnoteText">
    <w:name w:val="footnote text"/>
    <w:basedOn w:val="Normal"/>
    <w:link w:val="FootnoteTextChar"/>
    <w:rsid w:val="0092652F"/>
    <w:pPr>
      <w:spacing w:after="0" w:line="240" w:lineRule="auto"/>
      <w:jc w:val="both"/>
    </w:pPr>
    <w:rPr>
      <w:rFonts w:ascii="Arial" w:eastAsia="Times New Roman" w:hAnsi="Arial" w:cs="Times New Roman"/>
      <w:sz w:val="20"/>
      <w:szCs w:val="20"/>
    </w:rPr>
  </w:style>
  <w:style w:type="character" w:customStyle="1" w:styleId="FootnoteTextChar">
    <w:name w:val="Footnote Text Char"/>
    <w:basedOn w:val="DefaultParagraphFont"/>
    <w:link w:val="FootnoteText"/>
    <w:rsid w:val="0092652F"/>
    <w:rPr>
      <w:rFonts w:ascii="Arial" w:eastAsia="Times New Roman" w:hAnsi="Arial" w:cs="Times New Roman"/>
      <w:sz w:val="20"/>
      <w:szCs w:val="20"/>
    </w:rPr>
  </w:style>
  <w:style w:type="character" w:styleId="FootnoteReference">
    <w:name w:val="footnote reference"/>
    <w:rsid w:val="0092652F"/>
    <w:rPr>
      <w:vertAlign w:val="superscript"/>
    </w:rPr>
  </w:style>
  <w:style w:type="character" w:customStyle="1" w:styleId="normaltextrun">
    <w:name w:val="normaltextrun"/>
    <w:basedOn w:val="DefaultParagraphFont"/>
    <w:rsid w:val="006C51A3"/>
  </w:style>
  <w:style w:type="character" w:customStyle="1" w:styleId="spellingerror">
    <w:name w:val="spellingerror"/>
    <w:basedOn w:val="DefaultParagraphFont"/>
    <w:rsid w:val="006C51A3"/>
  </w:style>
  <w:style w:type="character" w:customStyle="1" w:styleId="eop">
    <w:name w:val="eop"/>
    <w:basedOn w:val="DefaultParagraphFont"/>
    <w:rsid w:val="006C51A3"/>
  </w:style>
  <w:style w:type="character" w:customStyle="1" w:styleId="contextualspellingandgrammarerror">
    <w:name w:val="contextualspellingandgrammarerror"/>
    <w:basedOn w:val="DefaultParagraphFont"/>
    <w:rsid w:val="006C51A3"/>
  </w:style>
  <w:style w:type="character" w:styleId="Hyperlink">
    <w:name w:val="Hyperlink"/>
    <w:basedOn w:val="DefaultParagraphFont"/>
    <w:uiPriority w:val="99"/>
    <w:unhideWhenUsed/>
    <w:rsid w:val="001F5A36"/>
    <w:rPr>
      <w:color w:val="0563C1" w:themeColor="hyperlink"/>
      <w:u w:val="single"/>
    </w:rPr>
  </w:style>
  <w:style w:type="character" w:styleId="UnresolvedMention">
    <w:name w:val="Unresolved Mention"/>
    <w:basedOn w:val="DefaultParagraphFont"/>
    <w:uiPriority w:val="99"/>
    <w:semiHidden/>
    <w:unhideWhenUsed/>
    <w:rsid w:val="001F5A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34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cottishsquash.org/policies-procedures/"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952399F4F5E6B418A4C0BCCEFBAC70D" ma:contentTypeVersion="4" ma:contentTypeDescription="Create a new document." ma:contentTypeScope="" ma:versionID="fd08813913143244b839aae24b009652">
  <xsd:schema xmlns:xsd="http://www.w3.org/2001/XMLSchema" xmlns:xs="http://www.w3.org/2001/XMLSchema" xmlns:p="http://schemas.microsoft.com/office/2006/metadata/properties" xmlns:ns2="e6655084-1e71-4dd8-8be2-499d121cbd57" xmlns:ns3="09cb79c9-bc50-42d0-b34e-73929ea2a260" targetNamespace="http://schemas.microsoft.com/office/2006/metadata/properties" ma:root="true" ma:fieldsID="555843ffbd0e9268a1487ea71f7a5431" ns2:_="" ns3:_="">
    <xsd:import namespace="e6655084-1e71-4dd8-8be2-499d121cbd57"/>
    <xsd:import namespace="09cb79c9-bc50-42d0-b34e-73929ea2a26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655084-1e71-4dd8-8be2-499d121cbd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9cb79c9-bc50-42d0-b34e-73929ea2a26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4332A2-BDB5-4F30-B21B-D77C8D81E0E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CCDC20C-1761-44C2-9C65-EE49352B03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655084-1e71-4dd8-8be2-499d121cbd57"/>
    <ds:schemaRef ds:uri="09cb79c9-bc50-42d0-b34e-73929ea2a2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95A39C-EB70-4637-AF29-6668C42826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387</Words>
  <Characters>2208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Child Protection Officer</dc:creator>
  <cp:keywords/>
  <dc:description/>
  <cp:lastModifiedBy>Garry McKay</cp:lastModifiedBy>
  <cp:revision>2</cp:revision>
  <dcterms:created xsi:type="dcterms:W3CDTF">2018-07-04T10:39:00Z</dcterms:created>
  <dcterms:modified xsi:type="dcterms:W3CDTF">2018-07-04T10:39:00Z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0x0101005952399F4F5E6B418A4C0BCCEFBAC70D</vt:lpwstr>
  </property>
</Properties>
</file>